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212" w:type="dxa"/>
        <w:tblInd w:w="250" w:type="dxa"/>
        <w:tblLook w:val="04A0"/>
      </w:tblPr>
      <w:tblGrid>
        <w:gridCol w:w="9212"/>
      </w:tblGrid>
      <w:tr w:rsidR="001F7303" w:rsidRPr="001F7303" w:rsidTr="00067DDA">
        <w:trPr>
          <w:trHeight w:val="3704"/>
        </w:trPr>
        <w:tc>
          <w:tcPr>
            <w:tcW w:w="9212" w:type="dxa"/>
            <w:shd w:val="clear" w:color="auto" w:fill="000000" w:themeFill="text1"/>
          </w:tcPr>
          <w:p w:rsidR="001F7303" w:rsidRPr="00EF5874" w:rsidRDefault="001F7303" w:rsidP="00067DDA">
            <w:pPr>
              <w:pBdr>
                <w:top w:val="single" w:sz="6" w:space="1" w:color="auto"/>
                <w:bottom w:val="single" w:sz="4" w:space="1" w:color="auto"/>
              </w:pBdr>
              <w:ind w:left="284"/>
              <w:jc w:val="center"/>
              <w:rPr>
                <w:b/>
                <w:sz w:val="52"/>
                <w:szCs w:val="52"/>
                <w:lang w:val="en-GB"/>
              </w:rPr>
            </w:pPr>
            <w:r w:rsidRPr="00EF5874">
              <w:rPr>
                <w:b/>
                <w:color w:val="FF0000"/>
                <w:sz w:val="52"/>
                <w:szCs w:val="52"/>
                <w:lang w:val="en-GB"/>
              </w:rPr>
              <w:t>Reliable</w:t>
            </w:r>
            <w:r w:rsidRPr="00EF5874">
              <w:rPr>
                <w:b/>
                <w:sz w:val="52"/>
                <w:szCs w:val="52"/>
                <w:lang w:val="en-GB"/>
              </w:rPr>
              <w:t xml:space="preserve">, Simple &amp; </w:t>
            </w:r>
            <w:r w:rsidR="00EF5874" w:rsidRPr="00EF5874">
              <w:rPr>
                <w:b/>
                <w:sz w:val="52"/>
                <w:szCs w:val="52"/>
                <w:lang w:val="en-GB"/>
              </w:rPr>
              <w:t xml:space="preserve">Inexpensive </w:t>
            </w:r>
          </w:p>
          <w:p w:rsidR="001F7303" w:rsidRPr="00EF5874" w:rsidRDefault="001F7303" w:rsidP="00067DDA">
            <w:pPr>
              <w:ind w:left="284"/>
              <w:jc w:val="center"/>
              <w:rPr>
                <w:b/>
                <w:sz w:val="56"/>
                <w:szCs w:val="56"/>
                <w:lang w:val="en-GB"/>
              </w:rPr>
            </w:pPr>
            <w:r w:rsidRPr="00EF5874">
              <w:rPr>
                <w:b/>
                <w:color w:val="FFC000"/>
                <w:sz w:val="56"/>
                <w:szCs w:val="56"/>
                <w:lang w:val="en-GB"/>
              </w:rPr>
              <w:t>For the aim</w:t>
            </w:r>
          </w:p>
          <w:p w:rsidR="001F7303" w:rsidRPr="00EF5874" w:rsidRDefault="00C403F4" w:rsidP="00067DDA">
            <w:pPr>
              <w:ind w:left="284"/>
              <w:jc w:val="center"/>
              <w:rPr>
                <w:b/>
                <w:sz w:val="56"/>
                <w:szCs w:val="56"/>
                <w:lang w:val="en-GB"/>
              </w:rPr>
            </w:pPr>
            <w:r w:rsidRPr="00EF5874">
              <w:rPr>
                <w:b/>
                <w:color w:val="FF0000"/>
                <w:sz w:val="56"/>
                <w:szCs w:val="56"/>
                <w:lang w:val="en-GB"/>
              </w:rPr>
              <w:t>ANAEMIA</w:t>
            </w:r>
            <w:r w:rsidRPr="00EF5874">
              <w:rPr>
                <w:b/>
                <w:sz w:val="56"/>
                <w:szCs w:val="56"/>
                <w:lang w:val="en-GB"/>
              </w:rPr>
              <w:t xml:space="preserve"> </w:t>
            </w:r>
          </w:p>
          <w:p w:rsidR="001F7303" w:rsidRPr="00EF5874" w:rsidRDefault="001F7303" w:rsidP="00067DDA">
            <w:pPr>
              <w:ind w:left="284"/>
              <w:jc w:val="center"/>
              <w:rPr>
                <w:b/>
                <w:sz w:val="56"/>
                <w:szCs w:val="56"/>
                <w:lang w:val="en-GB"/>
              </w:rPr>
            </w:pPr>
            <w:r w:rsidRPr="00EF5874">
              <w:rPr>
                <w:b/>
                <w:color w:val="FFC000"/>
                <w:sz w:val="56"/>
                <w:szCs w:val="56"/>
                <w:lang w:val="en-GB"/>
              </w:rPr>
              <w:t xml:space="preserve">SCAN </w:t>
            </w:r>
          </w:p>
          <w:p w:rsidR="001F7303" w:rsidRPr="00EF5874" w:rsidRDefault="001F7303" w:rsidP="00067DDA">
            <w:pPr>
              <w:ind w:left="284" w:hanging="108"/>
              <w:jc w:val="center"/>
              <w:rPr>
                <w:b/>
                <w:color w:val="FFC000"/>
                <w:sz w:val="56"/>
                <w:szCs w:val="56"/>
                <w:lang w:val="en-GB"/>
              </w:rPr>
            </w:pPr>
            <w:r w:rsidRPr="00EF5874">
              <w:rPr>
                <w:b/>
                <w:color w:val="FFC000"/>
                <w:sz w:val="56"/>
                <w:szCs w:val="56"/>
                <w:lang w:val="en-GB"/>
              </w:rPr>
              <w:t>The method should be</w:t>
            </w:r>
          </w:p>
          <w:p w:rsidR="001F7303" w:rsidRPr="00EF5874" w:rsidRDefault="001F7303" w:rsidP="00067DDA">
            <w:pPr>
              <w:ind w:left="284" w:hanging="108"/>
              <w:jc w:val="center"/>
              <w:rPr>
                <w:b/>
                <w:sz w:val="56"/>
                <w:szCs w:val="56"/>
                <w:lang w:val="en-GB"/>
              </w:rPr>
            </w:pPr>
            <w:r w:rsidRPr="00EF5874">
              <w:rPr>
                <w:b/>
                <w:sz w:val="56"/>
                <w:szCs w:val="56"/>
                <w:lang w:val="en-GB"/>
              </w:rPr>
              <w:t xml:space="preserve"> HCS</w:t>
            </w:r>
          </w:p>
          <w:p w:rsidR="001F7303" w:rsidRPr="001F7303" w:rsidRDefault="001F7303" w:rsidP="00067DDA">
            <w:pPr>
              <w:ind w:left="284"/>
              <w:jc w:val="center"/>
              <w:rPr>
                <w:b/>
                <w:color w:val="FF0000"/>
                <w:sz w:val="40"/>
                <w:szCs w:val="40"/>
                <w:lang w:val="en-GB"/>
              </w:rPr>
            </w:pPr>
            <w:r w:rsidRPr="001F7303">
              <w:rPr>
                <w:b/>
                <w:sz w:val="40"/>
                <w:szCs w:val="40"/>
                <w:lang w:val="en-GB"/>
              </w:rPr>
              <w:t xml:space="preserve">(HAEMOGLOBIN COLOUR SCALE) </w:t>
            </w:r>
          </w:p>
        </w:tc>
      </w:tr>
    </w:tbl>
    <w:p w:rsidR="004A0770" w:rsidRDefault="004A0770" w:rsidP="00067DDA">
      <w:pPr>
        <w:rPr>
          <w:b/>
          <w:sz w:val="36"/>
          <w:szCs w:val="36"/>
        </w:rPr>
      </w:pPr>
      <w:r>
        <w:rPr>
          <w:b/>
          <w:noProof/>
          <w:sz w:val="36"/>
          <w:szCs w:val="36"/>
        </w:rPr>
        <w:drawing>
          <wp:inline distT="0" distB="0" distL="0" distR="0">
            <wp:extent cx="5953125" cy="5353050"/>
            <wp:effectExtent l="1905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957928" cy="5357369"/>
                    </a:xfrm>
                    <a:prstGeom prst="rect">
                      <a:avLst/>
                    </a:prstGeom>
                    <a:noFill/>
                    <a:ln w="9525">
                      <a:noFill/>
                      <a:miter lim="800000"/>
                      <a:headEnd/>
                      <a:tailEnd/>
                    </a:ln>
                  </pic:spPr>
                </pic:pic>
              </a:graphicData>
            </a:graphic>
          </wp:inline>
        </w:drawing>
      </w:r>
    </w:p>
    <w:p w:rsidR="001F7303" w:rsidRDefault="001F7303" w:rsidP="004A0770">
      <w:pPr>
        <w:jc w:val="center"/>
        <w:rPr>
          <w:b/>
          <w:sz w:val="36"/>
          <w:szCs w:val="36"/>
        </w:rPr>
      </w:pPr>
    </w:p>
    <w:tbl>
      <w:tblPr>
        <w:tblStyle w:val="TabloKlavuzu"/>
        <w:tblW w:w="0" w:type="auto"/>
        <w:tblLook w:val="04A0"/>
      </w:tblPr>
      <w:tblGrid>
        <w:gridCol w:w="38"/>
        <w:gridCol w:w="2654"/>
        <w:gridCol w:w="304"/>
        <w:gridCol w:w="2782"/>
        <w:gridCol w:w="284"/>
        <w:gridCol w:w="2835"/>
        <w:gridCol w:w="353"/>
        <w:gridCol w:w="38"/>
      </w:tblGrid>
      <w:tr w:rsidR="001F7303" w:rsidRPr="001F7303" w:rsidTr="00EA7175">
        <w:trPr>
          <w:trHeight w:val="1373"/>
        </w:trPr>
        <w:tc>
          <w:tcPr>
            <w:tcW w:w="9288" w:type="dxa"/>
            <w:gridSpan w:val="8"/>
            <w:tcBorders>
              <w:top w:val="nil"/>
              <w:left w:val="nil"/>
              <w:bottom w:val="nil"/>
              <w:right w:val="nil"/>
            </w:tcBorders>
            <w:shd w:val="clear" w:color="auto" w:fill="FFC000"/>
          </w:tcPr>
          <w:p w:rsidR="001F7303" w:rsidRPr="001F7303" w:rsidRDefault="001F7303" w:rsidP="00DB458F">
            <w:pPr>
              <w:jc w:val="center"/>
              <w:rPr>
                <w:b/>
                <w:sz w:val="36"/>
                <w:szCs w:val="36"/>
                <w:lang w:val="en-GB"/>
              </w:rPr>
            </w:pPr>
            <w:r w:rsidRPr="001F7303">
              <w:rPr>
                <w:b/>
                <w:sz w:val="36"/>
                <w:szCs w:val="36"/>
                <w:lang w:val="en-GB"/>
              </w:rPr>
              <w:lastRenderedPageBreak/>
              <w:t xml:space="preserve">APPLICATION OF HAEMOGLOBIN  </w:t>
            </w:r>
          </w:p>
          <w:p w:rsidR="001F7303" w:rsidRPr="001F7303" w:rsidRDefault="001F7303" w:rsidP="00DB458F">
            <w:pPr>
              <w:jc w:val="center"/>
              <w:rPr>
                <w:b/>
                <w:sz w:val="36"/>
                <w:szCs w:val="36"/>
                <w:lang w:val="en-GB"/>
              </w:rPr>
            </w:pPr>
            <w:r w:rsidRPr="001F7303">
              <w:rPr>
                <w:b/>
                <w:sz w:val="36"/>
                <w:szCs w:val="36"/>
                <w:lang w:val="en-GB"/>
              </w:rPr>
              <w:t>COLOUR SCALE</w:t>
            </w:r>
          </w:p>
          <w:p w:rsidR="001F7303" w:rsidRPr="001F7303" w:rsidRDefault="00151A5B" w:rsidP="001F7303">
            <w:pPr>
              <w:pBdr>
                <w:bottom w:val="single" w:sz="6" w:space="1" w:color="auto"/>
              </w:pBdr>
              <w:jc w:val="center"/>
              <w:rPr>
                <w:b/>
                <w:sz w:val="36"/>
                <w:szCs w:val="36"/>
                <w:lang w:val="en-GB"/>
              </w:rPr>
            </w:pPr>
            <w:r w:rsidRPr="001F7303">
              <w:rPr>
                <w:b/>
                <w:sz w:val="36"/>
                <w:szCs w:val="36"/>
                <w:lang w:val="en-GB"/>
              </w:rPr>
              <w:t xml:space="preserve">(COPACK HAEMOGLOBIN COLOUR SCALE) </w:t>
            </w:r>
          </w:p>
        </w:tc>
      </w:tr>
      <w:tr w:rsidR="001F7303" w:rsidRPr="001F7303" w:rsidTr="00EA7175">
        <w:trPr>
          <w:trHeight w:val="1153"/>
        </w:trPr>
        <w:tc>
          <w:tcPr>
            <w:tcW w:w="9288" w:type="dxa"/>
            <w:gridSpan w:val="8"/>
            <w:tcBorders>
              <w:top w:val="nil"/>
              <w:left w:val="nil"/>
              <w:bottom w:val="nil"/>
              <w:right w:val="nil"/>
            </w:tcBorders>
            <w:shd w:val="clear" w:color="auto" w:fill="FFC000"/>
          </w:tcPr>
          <w:p w:rsidR="001F7303" w:rsidRPr="008E042A" w:rsidRDefault="001F7303" w:rsidP="008C7CCE">
            <w:pPr>
              <w:ind w:left="284" w:hanging="284"/>
              <w:rPr>
                <w:sz w:val="20"/>
                <w:szCs w:val="20"/>
                <w:lang w:val="en-GB"/>
              </w:rPr>
            </w:pPr>
            <w:r w:rsidRPr="008E042A">
              <w:rPr>
                <w:sz w:val="20"/>
                <w:szCs w:val="20"/>
                <w:lang w:val="en-GB"/>
              </w:rPr>
              <w:t xml:space="preserve">1) </w:t>
            </w:r>
            <w:r w:rsidR="008C7CCE" w:rsidRPr="008E042A">
              <w:rPr>
                <w:sz w:val="20"/>
                <w:szCs w:val="20"/>
                <w:lang w:val="en-GB"/>
              </w:rPr>
              <w:t xml:space="preserve"> </w:t>
            </w:r>
            <w:r w:rsidRPr="008E042A">
              <w:rPr>
                <w:sz w:val="20"/>
                <w:szCs w:val="20"/>
                <w:lang w:val="en-GB"/>
              </w:rPr>
              <w:t>Use only appropriate test strips.</w:t>
            </w:r>
          </w:p>
          <w:p w:rsidR="001F7303" w:rsidRPr="008E042A" w:rsidRDefault="001F7303" w:rsidP="008C7CCE">
            <w:pPr>
              <w:ind w:left="284" w:hanging="284"/>
              <w:rPr>
                <w:sz w:val="20"/>
                <w:szCs w:val="20"/>
                <w:lang w:val="en-GB"/>
              </w:rPr>
            </w:pPr>
          </w:p>
          <w:p w:rsidR="008C7CCE" w:rsidRPr="008E042A" w:rsidRDefault="001F7303" w:rsidP="008C7CCE">
            <w:pPr>
              <w:ind w:left="284" w:hanging="284"/>
              <w:rPr>
                <w:sz w:val="20"/>
                <w:szCs w:val="20"/>
                <w:lang w:val="en-GB"/>
              </w:rPr>
            </w:pPr>
            <w:r w:rsidRPr="008E042A">
              <w:rPr>
                <w:sz w:val="20"/>
                <w:szCs w:val="20"/>
                <w:lang w:val="en-GB"/>
              </w:rPr>
              <w:t>2)</w:t>
            </w:r>
            <w:r w:rsidR="008C7CCE" w:rsidRPr="008E042A">
              <w:rPr>
                <w:sz w:val="20"/>
                <w:szCs w:val="20"/>
                <w:lang w:val="en-GB"/>
              </w:rPr>
              <w:t xml:space="preserve">  Stick the skin, after cleaning the first drop of blood with swap, take  enough</w:t>
            </w:r>
            <w:r w:rsidR="00067DDA" w:rsidRPr="008E042A">
              <w:rPr>
                <w:sz w:val="20"/>
                <w:szCs w:val="20"/>
                <w:lang w:val="en-GB"/>
              </w:rPr>
              <w:t xml:space="preserve"> amount</w:t>
            </w:r>
            <w:r w:rsidR="008C7CCE" w:rsidRPr="008E042A">
              <w:rPr>
                <w:sz w:val="20"/>
                <w:szCs w:val="20"/>
                <w:lang w:val="en-GB"/>
              </w:rPr>
              <w:t xml:space="preserve"> blood  (1 cm, in diameter) to cover  the hole  of the colour scale in one end of the test strip completely. </w:t>
            </w:r>
          </w:p>
        </w:tc>
      </w:tr>
      <w:tr w:rsidR="008C7CCE" w:rsidRPr="001F7303" w:rsidTr="00EA7175">
        <w:trPr>
          <w:trHeight w:val="1045"/>
        </w:trPr>
        <w:tc>
          <w:tcPr>
            <w:tcW w:w="2692" w:type="dxa"/>
            <w:gridSpan w:val="2"/>
            <w:tcBorders>
              <w:top w:val="nil"/>
              <w:left w:val="nil"/>
              <w:bottom w:val="nil"/>
              <w:right w:val="nil"/>
            </w:tcBorders>
          </w:tcPr>
          <w:p w:rsidR="008C7CCE" w:rsidRDefault="008C7CCE" w:rsidP="008C7CCE">
            <w:pPr>
              <w:ind w:left="284" w:hanging="284"/>
              <w:rPr>
                <w:lang w:val="en-GB"/>
              </w:rPr>
            </w:pPr>
            <w:r>
              <w:rPr>
                <w:noProof/>
              </w:rPr>
              <w:drawing>
                <wp:inline distT="0" distB="0" distL="0" distR="0">
                  <wp:extent cx="1343025" cy="466725"/>
                  <wp:effectExtent l="19050" t="0" r="9525" b="0"/>
                  <wp:docPr id="1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1343025" cy="466725"/>
                          </a:xfrm>
                          <a:prstGeom prst="rect">
                            <a:avLst/>
                          </a:prstGeom>
                          <a:noFill/>
                          <a:ln w="9525">
                            <a:noFill/>
                            <a:miter lim="800000"/>
                            <a:headEnd/>
                            <a:tailEnd/>
                          </a:ln>
                        </pic:spPr>
                      </pic:pic>
                    </a:graphicData>
                  </a:graphic>
                </wp:inline>
              </w:drawing>
            </w:r>
          </w:p>
        </w:tc>
        <w:tc>
          <w:tcPr>
            <w:tcW w:w="304" w:type="dxa"/>
            <w:tcBorders>
              <w:top w:val="nil"/>
              <w:left w:val="nil"/>
              <w:bottom w:val="nil"/>
              <w:right w:val="nil"/>
            </w:tcBorders>
            <w:shd w:val="clear" w:color="auto" w:fill="FFC000"/>
          </w:tcPr>
          <w:p w:rsidR="008C7CCE" w:rsidRPr="008E042A" w:rsidRDefault="008C7CCE" w:rsidP="008C7CCE">
            <w:pPr>
              <w:ind w:left="284" w:hanging="284"/>
              <w:rPr>
                <w:sz w:val="20"/>
                <w:szCs w:val="20"/>
                <w:lang w:val="en-GB"/>
              </w:rPr>
            </w:pPr>
          </w:p>
        </w:tc>
        <w:tc>
          <w:tcPr>
            <w:tcW w:w="2782" w:type="dxa"/>
            <w:tcBorders>
              <w:top w:val="nil"/>
              <w:left w:val="nil"/>
              <w:bottom w:val="nil"/>
              <w:right w:val="nil"/>
            </w:tcBorders>
          </w:tcPr>
          <w:p w:rsidR="008C7CCE" w:rsidRPr="008E042A" w:rsidRDefault="008C7CCE" w:rsidP="008C7CCE">
            <w:pPr>
              <w:ind w:left="284" w:hanging="284"/>
              <w:rPr>
                <w:sz w:val="20"/>
                <w:szCs w:val="20"/>
                <w:lang w:val="en-GB"/>
              </w:rPr>
            </w:pPr>
            <w:r w:rsidRPr="008E042A">
              <w:rPr>
                <w:noProof/>
                <w:sz w:val="20"/>
                <w:szCs w:val="20"/>
              </w:rPr>
              <w:drawing>
                <wp:inline distT="0" distB="0" distL="0" distR="0">
                  <wp:extent cx="1352550" cy="581025"/>
                  <wp:effectExtent l="19050" t="0" r="0" b="0"/>
                  <wp:docPr id="16"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1352550" cy="581025"/>
                          </a:xfrm>
                          <a:prstGeom prst="rect">
                            <a:avLst/>
                          </a:prstGeom>
                          <a:noFill/>
                          <a:ln w="9525">
                            <a:noFill/>
                            <a:miter lim="800000"/>
                            <a:headEnd/>
                            <a:tailEnd/>
                          </a:ln>
                        </pic:spPr>
                      </pic:pic>
                    </a:graphicData>
                  </a:graphic>
                </wp:inline>
              </w:drawing>
            </w:r>
          </w:p>
        </w:tc>
        <w:tc>
          <w:tcPr>
            <w:tcW w:w="284" w:type="dxa"/>
            <w:tcBorders>
              <w:top w:val="nil"/>
              <w:left w:val="nil"/>
              <w:bottom w:val="nil"/>
              <w:right w:val="nil"/>
            </w:tcBorders>
            <w:shd w:val="clear" w:color="auto" w:fill="FFC000"/>
          </w:tcPr>
          <w:p w:rsidR="008C7CCE" w:rsidRPr="008E042A" w:rsidRDefault="008C7CCE" w:rsidP="008C7CCE">
            <w:pPr>
              <w:ind w:left="284" w:hanging="284"/>
              <w:rPr>
                <w:sz w:val="20"/>
                <w:szCs w:val="20"/>
                <w:lang w:val="en-GB"/>
              </w:rPr>
            </w:pPr>
          </w:p>
        </w:tc>
        <w:tc>
          <w:tcPr>
            <w:tcW w:w="2835" w:type="dxa"/>
            <w:tcBorders>
              <w:top w:val="nil"/>
              <w:left w:val="nil"/>
              <w:bottom w:val="nil"/>
              <w:right w:val="nil"/>
            </w:tcBorders>
          </w:tcPr>
          <w:p w:rsidR="008C7CCE" w:rsidRPr="008E042A" w:rsidRDefault="008C7CCE" w:rsidP="008C7CCE">
            <w:pPr>
              <w:ind w:left="284" w:hanging="284"/>
              <w:rPr>
                <w:sz w:val="20"/>
                <w:szCs w:val="20"/>
                <w:lang w:val="en-GB"/>
              </w:rPr>
            </w:pPr>
            <w:r w:rsidRPr="008E042A">
              <w:rPr>
                <w:noProof/>
                <w:sz w:val="20"/>
                <w:szCs w:val="20"/>
              </w:rPr>
              <w:drawing>
                <wp:inline distT="0" distB="0" distL="0" distR="0">
                  <wp:extent cx="1314450" cy="466725"/>
                  <wp:effectExtent l="19050" t="0" r="0" b="0"/>
                  <wp:docPr id="1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314450" cy="466725"/>
                          </a:xfrm>
                          <a:prstGeom prst="rect">
                            <a:avLst/>
                          </a:prstGeom>
                          <a:noFill/>
                          <a:ln w="9525">
                            <a:noFill/>
                            <a:miter lim="800000"/>
                            <a:headEnd/>
                            <a:tailEnd/>
                          </a:ln>
                        </pic:spPr>
                      </pic:pic>
                    </a:graphicData>
                  </a:graphic>
                </wp:inline>
              </w:drawing>
            </w:r>
          </w:p>
        </w:tc>
        <w:tc>
          <w:tcPr>
            <w:tcW w:w="391" w:type="dxa"/>
            <w:gridSpan w:val="2"/>
            <w:tcBorders>
              <w:top w:val="nil"/>
              <w:left w:val="nil"/>
              <w:bottom w:val="nil"/>
              <w:right w:val="nil"/>
            </w:tcBorders>
            <w:shd w:val="clear" w:color="auto" w:fill="FFC000"/>
          </w:tcPr>
          <w:p w:rsidR="008C7CCE" w:rsidRDefault="008C7CCE" w:rsidP="008C7CCE">
            <w:pPr>
              <w:ind w:left="284" w:hanging="284"/>
              <w:rPr>
                <w:lang w:val="en-GB"/>
              </w:rPr>
            </w:pPr>
          </w:p>
        </w:tc>
      </w:tr>
      <w:tr w:rsidR="008C7CCE" w:rsidRPr="001F7303" w:rsidTr="00EA7175">
        <w:trPr>
          <w:trHeight w:val="394"/>
        </w:trPr>
        <w:tc>
          <w:tcPr>
            <w:tcW w:w="2692" w:type="dxa"/>
            <w:gridSpan w:val="2"/>
            <w:tcBorders>
              <w:top w:val="nil"/>
              <w:left w:val="nil"/>
              <w:bottom w:val="nil"/>
              <w:right w:val="nil"/>
            </w:tcBorders>
            <w:shd w:val="clear" w:color="auto" w:fill="FFC000"/>
          </w:tcPr>
          <w:p w:rsidR="008C7CCE" w:rsidRPr="009710B0" w:rsidRDefault="008C7CCE" w:rsidP="00067DDA">
            <w:pPr>
              <w:ind w:left="284" w:hanging="284"/>
              <w:jc w:val="center"/>
              <w:rPr>
                <w:b/>
                <w:noProof/>
              </w:rPr>
            </w:pPr>
            <w:r w:rsidRPr="009710B0">
              <w:rPr>
                <w:b/>
                <w:noProof/>
              </w:rPr>
              <w:t>Correnct a</w:t>
            </w:r>
            <w:r w:rsidR="00067DDA" w:rsidRPr="009710B0">
              <w:rPr>
                <w:b/>
                <w:noProof/>
              </w:rPr>
              <w:t>mount</w:t>
            </w:r>
          </w:p>
        </w:tc>
        <w:tc>
          <w:tcPr>
            <w:tcW w:w="304" w:type="dxa"/>
            <w:tcBorders>
              <w:top w:val="nil"/>
              <w:left w:val="nil"/>
              <w:bottom w:val="nil"/>
              <w:right w:val="nil"/>
            </w:tcBorders>
            <w:shd w:val="clear" w:color="auto" w:fill="FFC000"/>
          </w:tcPr>
          <w:p w:rsidR="008C7CCE" w:rsidRPr="008E042A" w:rsidRDefault="008C7CCE" w:rsidP="00067DDA">
            <w:pPr>
              <w:ind w:left="284" w:hanging="284"/>
              <w:jc w:val="center"/>
              <w:rPr>
                <w:b/>
                <w:sz w:val="20"/>
                <w:szCs w:val="20"/>
                <w:lang w:val="en-GB"/>
              </w:rPr>
            </w:pPr>
          </w:p>
        </w:tc>
        <w:tc>
          <w:tcPr>
            <w:tcW w:w="2782" w:type="dxa"/>
            <w:tcBorders>
              <w:top w:val="nil"/>
              <w:left w:val="nil"/>
              <w:bottom w:val="nil"/>
              <w:right w:val="nil"/>
            </w:tcBorders>
            <w:shd w:val="clear" w:color="auto" w:fill="FFC000"/>
          </w:tcPr>
          <w:p w:rsidR="008C7CCE" w:rsidRPr="008E042A" w:rsidRDefault="00067DDA" w:rsidP="00067DDA">
            <w:pPr>
              <w:ind w:left="284" w:hanging="284"/>
              <w:jc w:val="center"/>
              <w:rPr>
                <w:b/>
                <w:noProof/>
                <w:sz w:val="20"/>
                <w:szCs w:val="20"/>
              </w:rPr>
            </w:pPr>
            <w:r w:rsidRPr="008E042A">
              <w:rPr>
                <w:b/>
                <w:noProof/>
                <w:sz w:val="20"/>
                <w:szCs w:val="20"/>
              </w:rPr>
              <w:t>Very few amount</w:t>
            </w:r>
          </w:p>
        </w:tc>
        <w:tc>
          <w:tcPr>
            <w:tcW w:w="284" w:type="dxa"/>
            <w:tcBorders>
              <w:top w:val="nil"/>
              <w:left w:val="nil"/>
              <w:bottom w:val="nil"/>
              <w:right w:val="nil"/>
            </w:tcBorders>
            <w:shd w:val="clear" w:color="auto" w:fill="FFC000"/>
          </w:tcPr>
          <w:p w:rsidR="008C7CCE" w:rsidRPr="008E042A" w:rsidRDefault="008C7CCE" w:rsidP="00067DDA">
            <w:pPr>
              <w:ind w:left="284" w:hanging="284"/>
              <w:jc w:val="center"/>
              <w:rPr>
                <w:b/>
                <w:sz w:val="20"/>
                <w:szCs w:val="20"/>
                <w:lang w:val="en-GB"/>
              </w:rPr>
            </w:pPr>
          </w:p>
        </w:tc>
        <w:tc>
          <w:tcPr>
            <w:tcW w:w="2835" w:type="dxa"/>
            <w:tcBorders>
              <w:top w:val="nil"/>
              <w:left w:val="nil"/>
              <w:bottom w:val="nil"/>
              <w:right w:val="nil"/>
            </w:tcBorders>
            <w:shd w:val="clear" w:color="auto" w:fill="FFC000"/>
          </w:tcPr>
          <w:p w:rsidR="008C7CCE" w:rsidRPr="008E042A" w:rsidRDefault="00067DDA" w:rsidP="00067DDA">
            <w:pPr>
              <w:ind w:left="284" w:hanging="284"/>
              <w:jc w:val="center"/>
              <w:rPr>
                <w:b/>
                <w:noProof/>
                <w:sz w:val="20"/>
                <w:szCs w:val="20"/>
              </w:rPr>
            </w:pPr>
            <w:r w:rsidRPr="008E042A">
              <w:rPr>
                <w:b/>
                <w:noProof/>
                <w:sz w:val="20"/>
                <w:szCs w:val="20"/>
              </w:rPr>
              <w:t>Very much amont</w:t>
            </w:r>
          </w:p>
        </w:tc>
        <w:tc>
          <w:tcPr>
            <w:tcW w:w="391" w:type="dxa"/>
            <w:gridSpan w:val="2"/>
            <w:tcBorders>
              <w:top w:val="nil"/>
              <w:left w:val="nil"/>
              <w:bottom w:val="nil"/>
              <w:right w:val="nil"/>
            </w:tcBorders>
            <w:shd w:val="clear" w:color="auto" w:fill="FFC000"/>
          </w:tcPr>
          <w:p w:rsidR="008C7CCE" w:rsidRDefault="008C7CCE" w:rsidP="008C7CCE">
            <w:pPr>
              <w:ind w:left="284" w:hanging="284"/>
              <w:rPr>
                <w:lang w:val="en-GB"/>
              </w:rPr>
            </w:pPr>
          </w:p>
        </w:tc>
      </w:tr>
      <w:tr w:rsidR="00067DDA" w:rsidRPr="008E042A" w:rsidTr="00EA7175">
        <w:trPr>
          <w:trHeight w:val="394"/>
        </w:trPr>
        <w:tc>
          <w:tcPr>
            <w:tcW w:w="9288" w:type="dxa"/>
            <w:gridSpan w:val="8"/>
            <w:tcBorders>
              <w:top w:val="nil"/>
              <w:left w:val="nil"/>
              <w:bottom w:val="nil"/>
              <w:right w:val="nil"/>
            </w:tcBorders>
            <w:shd w:val="clear" w:color="auto" w:fill="FFC000"/>
          </w:tcPr>
          <w:p w:rsidR="00067DDA" w:rsidRPr="008E042A" w:rsidRDefault="00067DDA" w:rsidP="00C403F4">
            <w:pPr>
              <w:ind w:left="284" w:hanging="284"/>
              <w:rPr>
                <w:sz w:val="18"/>
                <w:szCs w:val="18"/>
                <w:lang w:val="en-GB"/>
              </w:rPr>
            </w:pPr>
            <w:r w:rsidRPr="008E042A">
              <w:rPr>
                <w:sz w:val="18"/>
                <w:szCs w:val="18"/>
                <w:lang w:val="en-GB"/>
              </w:rPr>
              <w:t>3)</w:t>
            </w:r>
            <w:r w:rsidRPr="008E042A">
              <w:rPr>
                <w:sz w:val="18"/>
                <w:szCs w:val="18"/>
              </w:rPr>
              <w:t xml:space="preserve"> </w:t>
            </w:r>
            <w:r w:rsidRPr="008E042A">
              <w:rPr>
                <w:sz w:val="18"/>
                <w:szCs w:val="18"/>
                <w:lang w:val="en-GB"/>
              </w:rPr>
              <w:t>After waiting for approximately 30 second, immediately place the test strip behind the colour scale and compare with the most suitable colour of blood.</w:t>
            </w:r>
          </w:p>
          <w:p w:rsidR="00067DDA" w:rsidRPr="008E042A" w:rsidRDefault="00EF5874" w:rsidP="00C403F4">
            <w:pPr>
              <w:ind w:left="284" w:hanging="284"/>
              <w:rPr>
                <w:b/>
                <w:sz w:val="18"/>
                <w:szCs w:val="18"/>
                <w:u w:val="single"/>
                <w:lang w:val="en-GB"/>
              </w:rPr>
            </w:pPr>
            <w:proofErr w:type="gramStart"/>
            <w:r w:rsidRPr="008E042A">
              <w:rPr>
                <w:b/>
                <w:sz w:val="18"/>
                <w:szCs w:val="18"/>
                <w:u w:val="single"/>
                <w:lang w:val="en-GB"/>
              </w:rPr>
              <w:t>CAUTION !!!</w:t>
            </w:r>
            <w:proofErr w:type="gramEnd"/>
          </w:p>
          <w:p w:rsidR="00067DDA" w:rsidRPr="008E042A" w:rsidRDefault="00EA7175" w:rsidP="00C403F4">
            <w:pPr>
              <w:pStyle w:val="ListeParagraf"/>
              <w:numPr>
                <w:ilvl w:val="0"/>
                <w:numId w:val="1"/>
              </w:numPr>
              <w:rPr>
                <w:sz w:val="18"/>
                <w:szCs w:val="18"/>
                <w:lang w:val="en-GB"/>
              </w:rPr>
            </w:pPr>
            <w:r>
              <w:rPr>
                <w:sz w:val="18"/>
                <w:szCs w:val="18"/>
                <w:lang w:val="en-GB"/>
              </w:rPr>
              <w:t>Not  assess</w:t>
            </w:r>
            <w:r w:rsidR="0024745C" w:rsidRPr="008E042A">
              <w:rPr>
                <w:sz w:val="18"/>
                <w:szCs w:val="18"/>
                <w:lang w:val="en-GB"/>
              </w:rPr>
              <w:t xml:space="preserve"> under bright and inadequate light </w:t>
            </w:r>
          </w:p>
          <w:p w:rsidR="0024745C" w:rsidRPr="008E042A" w:rsidRDefault="00EA7175" w:rsidP="00C403F4">
            <w:pPr>
              <w:pStyle w:val="ListeParagraf"/>
              <w:numPr>
                <w:ilvl w:val="0"/>
                <w:numId w:val="1"/>
              </w:numPr>
              <w:rPr>
                <w:sz w:val="18"/>
                <w:szCs w:val="18"/>
                <w:lang w:val="en-GB"/>
              </w:rPr>
            </w:pPr>
            <w:r>
              <w:rPr>
                <w:sz w:val="18"/>
                <w:szCs w:val="18"/>
                <w:lang w:val="en-GB"/>
              </w:rPr>
              <w:t>Not assess</w:t>
            </w:r>
            <w:r w:rsidR="0024745C" w:rsidRPr="008E042A">
              <w:rPr>
                <w:sz w:val="18"/>
                <w:szCs w:val="18"/>
                <w:lang w:val="en-GB"/>
              </w:rPr>
              <w:t xml:space="preserve"> in the areas that my create shadow </w:t>
            </w:r>
          </w:p>
          <w:p w:rsidR="0024745C" w:rsidRPr="008E042A" w:rsidRDefault="0024745C" w:rsidP="00C403F4">
            <w:pPr>
              <w:pStyle w:val="ListeParagraf"/>
              <w:ind w:hanging="720"/>
              <w:rPr>
                <w:sz w:val="18"/>
                <w:szCs w:val="18"/>
                <w:lang w:val="en-GB"/>
              </w:rPr>
            </w:pPr>
          </w:p>
          <w:p w:rsidR="0024745C" w:rsidRPr="008E042A" w:rsidRDefault="0024745C" w:rsidP="00C403F4">
            <w:pPr>
              <w:pStyle w:val="ListeParagraf"/>
              <w:ind w:left="284" w:hanging="284"/>
              <w:jc w:val="both"/>
              <w:rPr>
                <w:sz w:val="18"/>
                <w:szCs w:val="18"/>
                <w:lang w:val="en-GB"/>
              </w:rPr>
            </w:pPr>
            <w:r w:rsidRPr="008E042A">
              <w:rPr>
                <w:sz w:val="18"/>
                <w:szCs w:val="18"/>
                <w:lang w:val="en-GB"/>
              </w:rPr>
              <w:t xml:space="preserve">4)  </w:t>
            </w:r>
            <w:r w:rsidR="009710B0" w:rsidRPr="008E042A">
              <w:rPr>
                <w:sz w:val="18"/>
                <w:szCs w:val="18"/>
                <w:lang w:val="en-GB"/>
              </w:rPr>
              <w:t>Slide the blood-soaked strip up or down until match with</w:t>
            </w:r>
            <w:r w:rsidRPr="008E042A">
              <w:rPr>
                <w:sz w:val="18"/>
                <w:szCs w:val="18"/>
                <w:lang w:val="en-GB"/>
              </w:rPr>
              <w:t xml:space="preserve"> the best colour </w:t>
            </w:r>
            <w:r w:rsidR="009710B0" w:rsidRPr="008E042A">
              <w:rPr>
                <w:sz w:val="18"/>
                <w:szCs w:val="18"/>
                <w:lang w:val="en-GB"/>
              </w:rPr>
              <w:t>on the back part of the scale starting from the light colour tone (4 g/d) or</w:t>
            </w:r>
            <w:r w:rsidRPr="008E042A">
              <w:rPr>
                <w:sz w:val="18"/>
                <w:szCs w:val="18"/>
                <w:lang w:val="en-GB"/>
              </w:rPr>
              <w:t xml:space="preserve"> dark</w:t>
            </w:r>
            <w:r w:rsidR="009710B0" w:rsidRPr="008E042A">
              <w:rPr>
                <w:sz w:val="18"/>
                <w:szCs w:val="18"/>
                <w:lang w:val="en-GB"/>
              </w:rPr>
              <w:t xml:space="preserve"> colour tone (14g/d). Write down the haemoglobin value if the blood colour matches exactly with the red section on the scale.  </w:t>
            </w:r>
            <w:r w:rsidR="00C403F4" w:rsidRPr="008E042A">
              <w:rPr>
                <w:sz w:val="18"/>
                <w:szCs w:val="18"/>
                <w:lang w:val="en-GB"/>
              </w:rPr>
              <w:t>If</w:t>
            </w:r>
            <w:r w:rsidR="009710B0" w:rsidRPr="008E042A">
              <w:rPr>
                <w:sz w:val="18"/>
                <w:szCs w:val="18"/>
                <w:lang w:val="en-GB"/>
              </w:rPr>
              <w:t xml:space="preserve"> there is a doubt between two colours on the scale write down the lowest value.</w:t>
            </w:r>
          </w:p>
          <w:p w:rsidR="009710B0" w:rsidRPr="008E042A" w:rsidRDefault="009710B0" w:rsidP="00C403F4">
            <w:pPr>
              <w:pStyle w:val="ListeParagraf"/>
              <w:ind w:left="284" w:hanging="284"/>
              <w:jc w:val="both"/>
              <w:rPr>
                <w:sz w:val="18"/>
                <w:szCs w:val="18"/>
                <w:lang w:val="en-GB"/>
              </w:rPr>
            </w:pPr>
          </w:p>
          <w:p w:rsidR="009710B0" w:rsidRDefault="009710B0" w:rsidP="00C403F4">
            <w:pPr>
              <w:pStyle w:val="ListeParagraf"/>
              <w:ind w:left="284" w:hanging="284"/>
              <w:jc w:val="both"/>
              <w:rPr>
                <w:sz w:val="18"/>
                <w:szCs w:val="18"/>
                <w:lang w:val="en-GB"/>
              </w:rPr>
            </w:pPr>
            <w:r w:rsidRPr="008E042A">
              <w:rPr>
                <w:sz w:val="18"/>
                <w:szCs w:val="18"/>
                <w:lang w:val="en-GB"/>
              </w:rPr>
              <w:t>5) Dispose the test strip after</w:t>
            </w:r>
            <w:r w:rsidR="00C403F4" w:rsidRPr="008E042A">
              <w:rPr>
                <w:sz w:val="18"/>
                <w:szCs w:val="18"/>
                <w:lang w:val="en-GB"/>
              </w:rPr>
              <w:t xml:space="preserve"> proceeding.  If contaminated after use, wipe the back of the colour scale.</w:t>
            </w:r>
          </w:p>
          <w:p w:rsidR="00EA7175" w:rsidRPr="00EA7175" w:rsidRDefault="00EA7175" w:rsidP="00C403F4">
            <w:pPr>
              <w:pStyle w:val="ListeParagraf"/>
              <w:ind w:left="284" w:hanging="284"/>
              <w:jc w:val="both"/>
              <w:rPr>
                <w:lang w:val="en-GB"/>
              </w:rPr>
            </w:pPr>
          </w:p>
          <w:p w:rsidR="00C403F4" w:rsidRDefault="00C403F4" w:rsidP="00C403F4">
            <w:pPr>
              <w:pStyle w:val="ListeParagraf"/>
              <w:pBdr>
                <w:bottom w:val="single" w:sz="6" w:space="1" w:color="auto"/>
              </w:pBdr>
              <w:ind w:left="284" w:hanging="284"/>
              <w:jc w:val="center"/>
              <w:rPr>
                <w:b/>
                <w:lang w:val="en-GB"/>
              </w:rPr>
            </w:pPr>
            <w:r w:rsidRPr="00EA7175">
              <w:rPr>
                <w:b/>
                <w:color w:val="FF0000"/>
                <w:lang w:val="en-GB"/>
              </w:rPr>
              <w:t>Reliable,</w:t>
            </w:r>
            <w:r w:rsidRPr="00EA7175">
              <w:rPr>
                <w:b/>
                <w:lang w:val="en-GB"/>
              </w:rPr>
              <w:t xml:space="preserve"> Simple &amp; </w:t>
            </w:r>
            <w:r w:rsidR="00EF5874" w:rsidRPr="00EA7175">
              <w:rPr>
                <w:b/>
                <w:lang w:val="en-GB"/>
              </w:rPr>
              <w:t>Inexpensive</w:t>
            </w:r>
          </w:p>
          <w:p w:rsidR="00EA7175" w:rsidRPr="008E042A" w:rsidRDefault="00EA7175" w:rsidP="00C403F4">
            <w:pPr>
              <w:pStyle w:val="ListeParagraf"/>
              <w:ind w:left="284" w:hanging="284"/>
              <w:jc w:val="center"/>
              <w:rPr>
                <w:b/>
                <w:sz w:val="18"/>
                <w:szCs w:val="18"/>
                <w:lang w:val="en-GB"/>
              </w:rPr>
            </w:pPr>
          </w:p>
        </w:tc>
      </w:tr>
      <w:tr w:rsidR="008E042A" w:rsidRPr="008E042A" w:rsidTr="00EA7175">
        <w:trPr>
          <w:gridBefore w:val="1"/>
          <w:gridAfter w:val="1"/>
          <w:wBefore w:w="38" w:type="dxa"/>
          <w:wAfter w:w="38" w:type="dxa"/>
          <w:trHeight w:val="435"/>
        </w:trPr>
        <w:tc>
          <w:tcPr>
            <w:tcW w:w="9212" w:type="dxa"/>
            <w:gridSpan w:val="6"/>
            <w:tcBorders>
              <w:top w:val="nil"/>
              <w:left w:val="nil"/>
              <w:bottom w:val="nil"/>
              <w:right w:val="nil"/>
            </w:tcBorders>
            <w:shd w:val="clear" w:color="auto" w:fill="FFC000"/>
          </w:tcPr>
          <w:p w:rsidR="008E042A" w:rsidRPr="008E042A" w:rsidRDefault="008E042A" w:rsidP="00F268F2">
            <w:pPr>
              <w:jc w:val="both"/>
              <w:rPr>
                <w:sz w:val="18"/>
                <w:szCs w:val="18"/>
                <w:lang w:val="en-GB"/>
              </w:rPr>
            </w:pPr>
            <w:r w:rsidRPr="008E042A">
              <w:rPr>
                <w:sz w:val="18"/>
                <w:szCs w:val="18"/>
                <w:lang w:val="en-GB"/>
              </w:rPr>
              <w:t xml:space="preserve">For RELIABLE, SIMPLE &amp; INEXPENSIVE anaemia scan with the special designed haemoglobin strip and haemoglobin colour scale HCS is putting in service all over the world as well as for the healthcare sector in our country.  </w:t>
            </w:r>
          </w:p>
          <w:p w:rsidR="008E042A" w:rsidRDefault="008E042A" w:rsidP="00F268F2">
            <w:pPr>
              <w:jc w:val="both"/>
              <w:rPr>
                <w:sz w:val="18"/>
                <w:szCs w:val="18"/>
                <w:lang w:val="en-GB"/>
              </w:rPr>
            </w:pPr>
            <w:r w:rsidRPr="008E042A">
              <w:rPr>
                <w:sz w:val="18"/>
                <w:szCs w:val="18"/>
                <w:lang w:val="en-GB"/>
              </w:rPr>
              <w:t xml:space="preserve">HCS manufactured by the German company COPACK GmbH is officially recommended by </w:t>
            </w:r>
            <w:proofErr w:type="gramStart"/>
            <w:r w:rsidRPr="008E042A">
              <w:rPr>
                <w:sz w:val="18"/>
                <w:szCs w:val="18"/>
                <w:lang w:val="en-GB"/>
              </w:rPr>
              <w:t>WHO</w:t>
            </w:r>
            <w:proofErr w:type="gramEnd"/>
            <w:r w:rsidRPr="008E042A">
              <w:rPr>
                <w:sz w:val="18"/>
                <w:szCs w:val="18"/>
                <w:lang w:val="en-GB"/>
              </w:rPr>
              <w:t xml:space="preserve"> (World Health Organisation). Some of the scientific studies carried on HCS and published in common medical journals are presented below:</w:t>
            </w:r>
          </w:p>
          <w:p w:rsidR="00EA7175" w:rsidRPr="008E042A" w:rsidRDefault="00EA7175" w:rsidP="00F268F2">
            <w:pPr>
              <w:jc w:val="both"/>
              <w:rPr>
                <w:sz w:val="18"/>
                <w:szCs w:val="18"/>
                <w:lang w:val="en-GB"/>
              </w:rPr>
            </w:pPr>
          </w:p>
          <w:p w:rsidR="008E042A" w:rsidRDefault="008E042A" w:rsidP="00F268F2">
            <w:pPr>
              <w:rPr>
                <w:sz w:val="16"/>
                <w:szCs w:val="16"/>
                <w:lang w:val="en-GB"/>
              </w:rPr>
            </w:pPr>
            <w:r w:rsidRPr="008E042A">
              <w:rPr>
                <w:sz w:val="16"/>
                <w:szCs w:val="16"/>
                <w:lang w:val="en-GB"/>
              </w:rPr>
              <w:t xml:space="preserve">1) </w:t>
            </w:r>
            <w:r w:rsidRPr="008E042A">
              <w:rPr>
                <w:b/>
                <w:sz w:val="16"/>
                <w:szCs w:val="16"/>
                <w:lang w:val="en-GB"/>
              </w:rPr>
              <w:t>Stott GJ, Lewis SM,</w:t>
            </w:r>
            <w:r w:rsidRPr="008E042A">
              <w:rPr>
                <w:sz w:val="16"/>
                <w:szCs w:val="16"/>
                <w:lang w:val="en-GB"/>
              </w:rPr>
              <w:t xml:space="preserve"> A simple and reliable method for estimating haemoglobin.  Bulletin of the World Health Organisation; 1995, 73-369-373</w:t>
            </w:r>
          </w:p>
          <w:p w:rsidR="00EA7175" w:rsidRPr="008E042A" w:rsidRDefault="00EA7175" w:rsidP="00F268F2">
            <w:pPr>
              <w:rPr>
                <w:sz w:val="16"/>
                <w:szCs w:val="16"/>
                <w:lang w:val="en-GB"/>
              </w:rPr>
            </w:pPr>
          </w:p>
          <w:p w:rsidR="008E042A" w:rsidRDefault="008E042A" w:rsidP="00F268F2">
            <w:pPr>
              <w:rPr>
                <w:sz w:val="16"/>
                <w:szCs w:val="16"/>
                <w:lang w:val="en-GB"/>
              </w:rPr>
            </w:pPr>
            <w:r w:rsidRPr="008E042A">
              <w:rPr>
                <w:sz w:val="16"/>
                <w:szCs w:val="16"/>
                <w:lang w:val="en-GB"/>
              </w:rPr>
              <w:t xml:space="preserve">2) </w:t>
            </w:r>
            <w:proofErr w:type="spellStart"/>
            <w:r w:rsidRPr="008E042A">
              <w:rPr>
                <w:b/>
                <w:sz w:val="16"/>
                <w:szCs w:val="16"/>
                <w:lang w:val="en-GB"/>
              </w:rPr>
              <w:t>Münster</w:t>
            </w:r>
            <w:proofErr w:type="spellEnd"/>
            <w:r w:rsidRPr="008E042A">
              <w:rPr>
                <w:b/>
                <w:sz w:val="16"/>
                <w:szCs w:val="16"/>
                <w:lang w:val="en-GB"/>
              </w:rPr>
              <w:t xml:space="preserve"> M et al</w:t>
            </w:r>
            <w:r w:rsidRPr="008E042A">
              <w:rPr>
                <w:sz w:val="16"/>
                <w:szCs w:val="16"/>
                <w:lang w:val="en-GB"/>
              </w:rPr>
              <w:t xml:space="preserve">. Field evaluation of a novel haemoglobin measuring device designed for use in rural settings.  South African Medical Journal, 1997,87:1522-1526 </w:t>
            </w:r>
          </w:p>
          <w:p w:rsidR="00EA7175" w:rsidRPr="008E042A" w:rsidRDefault="00EA7175" w:rsidP="00F268F2">
            <w:pPr>
              <w:rPr>
                <w:sz w:val="16"/>
                <w:szCs w:val="16"/>
                <w:lang w:val="en-GB"/>
              </w:rPr>
            </w:pPr>
          </w:p>
          <w:p w:rsidR="008E042A" w:rsidRDefault="008E042A" w:rsidP="00F268F2">
            <w:pPr>
              <w:rPr>
                <w:sz w:val="16"/>
                <w:szCs w:val="16"/>
                <w:lang w:val="en-GB"/>
              </w:rPr>
            </w:pPr>
            <w:r w:rsidRPr="008E042A">
              <w:rPr>
                <w:sz w:val="16"/>
                <w:szCs w:val="16"/>
                <w:lang w:val="en-GB"/>
              </w:rPr>
              <w:t xml:space="preserve">3) </w:t>
            </w:r>
            <w:proofErr w:type="spellStart"/>
            <w:r w:rsidRPr="008E042A">
              <w:rPr>
                <w:b/>
                <w:sz w:val="16"/>
                <w:szCs w:val="16"/>
                <w:lang w:val="en-GB"/>
              </w:rPr>
              <w:t>Beales</w:t>
            </w:r>
            <w:proofErr w:type="spellEnd"/>
            <w:r w:rsidRPr="008E042A">
              <w:rPr>
                <w:b/>
                <w:sz w:val="16"/>
                <w:szCs w:val="16"/>
                <w:lang w:val="en-GB"/>
              </w:rPr>
              <w:t xml:space="preserve"> PF,</w:t>
            </w:r>
            <w:r w:rsidRPr="008E042A">
              <w:rPr>
                <w:sz w:val="16"/>
                <w:szCs w:val="16"/>
                <w:lang w:val="en-GB"/>
              </w:rPr>
              <w:t xml:space="preserve"> Anaemia in malaria control: a practical approach Annals of Tropical Medicine &amp; </w:t>
            </w:r>
            <w:proofErr w:type="spellStart"/>
            <w:r w:rsidRPr="008E042A">
              <w:rPr>
                <w:sz w:val="16"/>
                <w:szCs w:val="16"/>
                <w:lang w:val="en-GB"/>
              </w:rPr>
              <w:t>Parasitology</w:t>
            </w:r>
            <w:proofErr w:type="spellEnd"/>
            <w:r w:rsidRPr="008E042A">
              <w:rPr>
                <w:sz w:val="16"/>
                <w:szCs w:val="16"/>
                <w:lang w:val="en-GB"/>
              </w:rPr>
              <w:t>, 1997, 91:713-718</w:t>
            </w:r>
          </w:p>
          <w:p w:rsidR="00EA7175" w:rsidRPr="008E042A" w:rsidRDefault="00EA7175" w:rsidP="00F268F2">
            <w:pPr>
              <w:rPr>
                <w:sz w:val="16"/>
                <w:szCs w:val="16"/>
                <w:lang w:val="en-GB"/>
              </w:rPr>
            </w:pPr>
          </w:p>
          <w:p w:rsidR="008E042A" w:rsidRDefault="008E042A" w:rsidP="00F268F2">
            <w:pPr>
              <w:rPr>
                <w:sz w:val="16"/>
                <w:szCs w:val="16"/>
                <w:lang w:val="en-GB"/>
              </w:rPr>
            </w:pPr>
            <w:r w:rsidRPr="008E042A">
              <w:rPr>
                <w:sz w:val="16"/>
                <w:szCs w:val="16"/>
                <w:lang w:val="en-GB"/>
              </w:rPr>
              <w:t xml:space="preserve">4)  </w:t>
            </w:r>
            <w:proofErr w:type="spellStart"/>
            <w:r w:rsidRPr="008E042A">
              <w:rPr>
                <w:b/>
                <w:sz w:val="16"/>
                <w:szCs w:val="16"/>
                <w:lang w:val="en-GB"/>
              </w:rPr>
              <w:t>Lews</w:t>
            </w:r>
            <w:proofErr w:type="spellEnd"/>
            <w:r w:rsidRPr="008E042A">
              <w:rPr>
                <w:b/>
                <w:sz w:val="16"/>
                <w:szCs w:val="16"/>
                <w:lang w:val="en-GB"/>
              </w:rPr>
              <w:t xml:space="preserve"> SM, Stott GJ, Wynn KJ</w:t>
            </w:r>
            <w:r w:rsidRPr="008E042A">
              <w:rPr>
                <w:sz w:val="16"/>
                <w:szCs w:val="16"/>
                <w:lang w:val="en-GB"/>
              </w:rPr>
              <w:t xml:space="preserve">. An inexpensive and reliable new haemoglobin colour scale for assessing anaemia. Journal of Clinical pathology, 1998,51:21-24 </w:t>
            </w:r>
          </w:p>
          <w:p w:rsidR="00EA7175" w:rsidRPr="008E042A" w:rsidRDefault="00EA7175" w:rsidP="00F268F2">
            <w:pPr>
              <w:rPr>
                <w:sz w:val="16"/>
                <w:szCs w:val="16"/>
                <w:lang w:val="en-GB"/>
              </w:rPr>
            </w:pPr>
          </w:p>
          <w:p w:rsidR="008E042A" w:rsidRDefault="008E042A" w:rsidP="00F268F2">
            <w:pPr>
              <w:rPr>
                <w:sz w:val="16"/>
                <w:szCs w:val="16"/>
                <w:lang w:val="en-GB"/>
              </w:rPr>
            </w:pPr>
            <w:r w:rsidRPr="008E042A">
              <w:rPr>
                <w:sz w:val="16"/>
                <w:szCs w:val="16"/>
                <w:lang w:val="en-US"/>
              </w:rPr>
              <w:t xml:space="preserve">5) </w:t>
            </w:r>
            <w:r w:rsidRPr="008E042A">
              <w:rPr>
                <w:b/>
                <w:sz w:val="16"/>
                <w:szCs w:val="16"/>
                <w:lang w:val="en-US"/>
              </w:rPr>
              <w:t xml:space="preserve">Van den </w:t>
            </w:r>
            <w:proofErr w:type="spellStart"/>
            <w:r w:rsidRPr="008E042A">
              <w:rPr>
                <w:b/>
                <w:sz w:val="16"/>
                <w:szCs w:val="16"/>
                <w:lang w:val="en-US"/>
              </w:rPr>
              <w:t>Broek</w:t>
            </w:r>
            <w:proofErr w:type="spellEnd"/>
            <w:r w:rsidRPr="008E042A">
              <w:rPr>
                <w:b/>
                <w:sz w:val="16"/>
                <w:szCs w:val="16"/>
                <w:lang w:val="en-US"/>
              </w:rPr>
              <w:t xml:space="preserve"> NR et al.</w:t>
            </w:r>
            <w:r w:rsidRPr="008E042A">
              <w:rPr>
                <w:sz w:val="16"/>
                <w:szCs w:val="16"/>
                <w:lang w:val="en-US"/>
              </w:rPr>
              <w:t xml:space="preserve"> </w:t>
            </w:r>
            <w:r w:rsidRPr="008E042A">
              <w:rPr>
                <w:sz w:val="16"/>
                <w:szCs w:val="16"/>
                <w:lang w:val="en-GB"/>
              </w:rPr>
              <w:t>Diagnosing anaemia in pregnancy in rural clinics: assessing the potential of the Haemoglobin Colour Scale Bulletin of the World Health Organisation, 1999, 77:15-21</w:t>
            </w:r>
          </w:p>
          <w:p w:rsidR="00EA7175" w:rsidRPr="008E042A" w:rsidRDefault="00EA7175" w:rsidP="00F268F2">
            <w:pPr>
              <w:rPr>
                <w:sz w:val="16"/>
                <w:szCs w:val="16"/>
                <w:lang w:val="en-GB"/>
              </w:rPr>
            </w:pPr>
          </w:p>
          <w:p w:rsidR="008E042A" w:rsidRDefault="008E042A" w:rsidP="00F268F2">
            <w:pPr>
              <w:rPr>
                <w:sz w:val="16"/>
                <w:szCs w:val="16"/>
                <w:lang w:val="en-GB"/>
              </w:rPr>
            </w:pPr>
            <w:r w:rsidRPr="008E042A">
              <w:rPr>
                <w:b/>
                <w:sz w:val="16"/>
                <w:szCs w:val="16"/>
                <w:lang w:val="en-GB"/>
              </w:rPr>
              <w:t xml:space="preserve">6) </w:t>
            </w:r>
            <w:proofErr w:type="spellStart"/>
            <w:r w:rsidRPr="008E042A">
              <w:rPr>
                <w:b/>
                <w:sz w:val="16"/>
                <w:szCs w:val="16"/>
                <w:lang w:val="en-GB"/>
              </w:rPr>
              <w:t>Montresor</w:t>
            </w:r>
            <w:proofErr w:type="spellEnd"/>
            <w:r w:rsidRPr="008E042A">
              <w:rPr>
                <w:b/>
                <w:sz w:val="16"/>
                <w:szCs w:val="16"/>
                <w:lang w:val="en-GB"/>
              </w:rPr>
              <w:t xml:space="preserve"> A et al.</w:t>
            </w:r>
            <w:r w:rsidRPr="008E042A">
              <w:rPr>
                <w:sz w:val="16"/>
                <w:szCs w:val="16"/>
                <w:lang w:val="en-GB"/>
              </w:rPr>
              <w:t xml:space="preserve"> Field trial of a Haemoglobin colour scale: an effective tool to detect anaemia in preschool children Topical medicine and International health, 2000,5:129-133</w:t>
            </w:r>
          </w:p>
          <w:p w:rsidR="00EA7175" w:rsidRPr="008E042A" w:rsidRDefault="00EA7175" w:rsidP="00F268F2">
            <w:pPr>
              <w:rPr>
                <w:sz w:val="16"/>
                <w:szCs w:val="16"/>
                <w:lang w:val="en-GB"/>
              </w:rPr>
            </w:pPr>
          </w:p>
          <w:p w:rsidR="008E042A" w:rsidRDefault="008E042A" w:rsidP="00F268F2">
            <w:pPr>
              <w:rPr>
                <w:sz w:val="16"/>
                <w:szCs w:val="16"/>
                <w:lang w:val="en-GB"/>
              </w:rPr>
            </w:pPr>
            <w:r w:rsidRPr="008E042A">
              <w:rPr>
                <w:b/>
                <w:sz w:val="16"/>
                <w:szCs w:val="16"/>
                <w:lang w:val="en-GB"/>
              </w:rPr>
              <w:t>7)</w:t>
            </w:r>
            <w:r w:rsidRPr="008E042A">
              <w:rPr>
                <w:sz w:val="16"/>
                <w:szCs w:val="16"/>
                <w:lang w:val="en-GB"/>
              </w:rPr>
              <w:t xml:space="preserve"> </w:t>
            </w:r>
            <w:r w:rsidRPr="008E042A">
              <w:rPr>
                <w:b/>
                <w:sz w:val="16"/>
                <w:szCs w:val="16"/>
                <w:lang w:val="en-GB"/>
              </w:rPr>
              <w:t>Gosling R et al</w:t>
            </w:r>
            <w:r w:rsidRPr="008E042A">
              <w:rPr>
                <w:sz w:val="16"/>
                <w:szCs w:val="16"/>
                <w:lang w:val="en-GB"/>
              </w:rPr>
              <w:t>. Training health workers to assess anaemia with the WHO Haemoglobin Colour Scale. Tropical Medicine and International Health, 2000, 5: 214-221</w:t>
            </w:r>
          </w:p>
          <w:p w:rsidR="00EA7175" w:rsidRPr="008E042A" w:rsidRDefault="00EA7175" w:rsidP="00F268F2">
            <w:pPr>
              <w:rPr>
                <w:sz w:val="16"/>
                <w:szCs w:val="16"/>
                <w:lang w:val="en-GB"/>
              </w:rPr>
            </w:pPr>
          </w:p>
          <w:p w:rsidR="008E042A" w:rsidRDefault="008E042A" w:rsidP="00F268F2">
            <w:pPr>
              <w:rPr>
                <w:sz w:val="16"/>
                <w:szCs w:val="16"/>
                <w:lang w:val="en-GB"/>
              </w:rPr>
            </w:pPr>
            <w:r w:rsidRPr="008E042A">
              <w:rPr>
                <w:b/>
                <w:sz w:val="16"/>
                <w:szCs w:val="16"/>
                <w:lang w:val="en-GB"/>
              </w:rPr>
              <w:t xml:space="preserve">8) </w:t>
            </w:r>
            <w:proofErr w:type="spellStart"/>
            <w:r w:rsidRPr="008E042A">
              <w:rPr>
                <w:b/>
                <w:sz w:val="16"/>
                <w:szCs w:val="16"/>
                <w:lang w:val="en-GB"/>
              </w:rPr>
              <w:t>Ingramm</w:t>
            </w:r>
            <w:proofErr w:type="spellEnd"/>
            <w:r w:rsidRPr="008E042A">
              <w:rPr>
                <w:b/>
                <w:sz w:val="16"/>
                <w:szCs w:val="16"/>
                <w:lang w:val="en-GB"/>
              </w:rPr>
              <w:t xml:space="preserve"> CF, Lewis SM.</w:t>
            </w:r>
            <w:r w:rsidRPr="008E042A">
              <w:rPr>
                <w:sz w:val="16"/>
                <w:szCs w:val="16"/>
                <w:lang w:val="en-GB"/>
              </w:rPr>
              <w:t xml:space="preserve"> Clinical use of the Haemoglobin Colour  Scale: validation and critique Journal of Clinical Pathology, 2000, 53 :933-937 </w:t>
            </w:r>
          </w:p>
          <w:p w:rsidR="00EA7175" w:rsidRPr="008E042A" w:rsidRDefault="00EA7175" w:rsidP="00F268F2">
            <w:pPr>
              <w:rPr>
                <w:sz w:val="16"/>
                <w:szCs w:val="16"/>
                <w:lang w:val="en-GB"/>
              </w:rPr>
            </w:pPr>
          </w:p>
          <w:p w:rsidR="008E042A" w:rsidRDefault="008E042A" w:rsidP="00F268F2">
            <w:pPr>
              <w:rPr>
                <w:sz w:val="16"/>
                <w:szCs w:val="16"/>
                <w:lang w:val="en-GB"/>
              </w:rPr>
            </w:pPr>
            <w:r w:rsidRPr="008E042A">
              <w:rPr>
                <w:b/>
                <w:sz w:val="16"/>
                <w:szCs w:val="16"/>
                <w:lang w:val="en-GB"/>
              </w:rPr>
              <w:t>9) Lewis SM, Emmanuel J</w:t>
            </w:r>
            <w:r w:rsidRPr="008E042A">
              <w:rPr>
                <w:sz w:val="16"/>
                <w:szCs w:val="16"/>
                <w:lang w:val="en-GB"/>
              </w:rPr>
              <w:t xml:space="preserve">. Validity of the Haemoglobin Colour  Scale: in blood donor screening </w:t>
            </w:r>
            <w:proofErr w:type="spellStart"/>
            <w:r w:rsidRPr="008E042A">
              <w:rPr>
                <w:sz w:val="16"/>
                <w:szCs w:val="16"/>
                <w:lang w:val="en-GB"/>
              </w:rPr>
              <w:t>Vox</w:t>
            </w:r>
            <w:proofErr w:type="spellEnd"/>
            <w:r w:rsidRPr="008E042A">
              <w:rPr>
                <w:sz w:val="16"/>
                <w:szCs w:val="16"/>
                <w:lang w:val="en-GB"/>
              </w:rPr>
              <w:t xml:space="preserve"> </w:t>
            </w:r>
            <w:proofErr w:type="spellStart"/>
            <w:r w:rsidRPr="008E042A">
              <w:rPr>
                <w:sz w:val="16"/>
                <w:szCs w:val="16"/>
                <w:lang w:val="en-GB"/>
              </w:rPr>
              <w:t>sanguinis</w:t>
            </w:r>
            <w:proofErr w:type="spellEnd"/>
            <w:r w:rsidRPr="008E042A">
              <w:rPr>
                <w:sz w:val="16"/>
                <w:szCs w:val="16"/>
                <w:lang w:val="en-GB"/>
              </w:rPr>
              <w:t>, 2001, 80:28-53</w:t>
            </w:r>
          </w:p>
          <w:p w:rsidR="00EA7175" w:rsidRPr="008E042A" w:rsidRDefault="00EA7175" w:rsidP="00F268F2">
            <w:pPr>
              <w:rPr>
                <w:sz w:val="16"/>
                <w:szCs w:val="16"/>
                <w:lang w:val="en-GB"/>
              </w:rPr>
            </w:pPr>
          </w:p>
          <w:p w:rsidR="008E042A" w:rsidRDefault="008E042A" w:rsidP="00F268F2">
            <w:pPr>
              <w:rPr>
                <w:sz w:val="16"/>
                <w:szCs w:val="16"/>
                <w:lang w:val="en-GB"/>
              </w:rPr>
            </w:pPr>
            <w:r w:rsidRPr="00EA7175">
              <w:rPr>
                <w:b/>
                <w:sz w:val="16"/>
                <w:szCs w:val="16"/>
                <w:lang w:val="en-GB"/>
              </w:rPr>
              <w:t>10) S</w:t>
            </w:r>
            <w:r w:rsidRPr="008E042A">
              <w:rPr>
                <w:b/>
                <w:sz w:val="16"/>
                <w:szCs w:val="16"/>
                <w:lang w:val="en-GB"/>
              </w:rPr>
              <w:t xml:space="preserve">. </w:t>
            </w:r>
            <w:proofErr w:type="spellStart"/>
            <w:r w:rsidRPr="008E042A">
              <w:rPr>
                <w:b/>
                <w:sz w:val="16"/>
                <w:szCs w:val="16"/>
                <w:lang w:val="en-GB"/>
              </w:rPr>
              <w:t>Mitschell</w:t>
            </w:r>
            <w:proofErr w:type="spellEnd"/>
            <w:r w:rsidRPr="008E042A">
              <w:rPr>
                <w:b/>
                <w:sz w:val="16"/>
                <w:szCs w:val="16"/>
                <w:lang w:val="en-GB"/>
              </w:rPr>
              <w:t xml:space="preserve"> Lewis.</w:t>
            </w:r>
            <w:r w:rsidRPr="008E042A">
              <w:rPr>
                <w:sz w:val="16"/>
                <w:szCs w:val="16"/>
                <w:lang w:val="en-GB"/>
              </w:rPr>
              <w:t xml:space="preserve"> Looking Backwards to the Future: The WHO  </w:t>
            </w:r>
            <w:proofErr w:type="spellStart"/>
            <w:r w:rsidRPr="008E042A">
              <w:rPr>
                <w:sz w:val="16"/>
                <w:szCs w:val="16"/>
                <w:lang w:val="en-GB"/>
              </w:rPr>
              <w:t>Heamoglobin</w:t>
            </w:r>
            <w:proofErr w:type="spellEnd"/>
            <w:r w:rsidRPr="008E042A">
              <w:rPr>
                <w:sz w:val="16"/>
                <w:szCs w:val="16"/>
                <w:lang w:val="en-GB"/>
              </w:rPr>
              <w:t xml:space="preserve"> Colour Scale Turk  J </w:t>
            </w:r>
            <w:proofErr w:type="spellStart"/>
            <w:r w:rsidRPr="008E042A">
              <w:rPr>
                <w:sz w:val="16"/>
                <w:szCs w:val="16"/>
                <w:lang w:val="en-GB"/>
              </w:rPr>
              <w:t>Haematol</w:t>
            </w:r>
            <w:proofErr w:type="spellEnd"/>
            <w:r w:rsidRPr="008E042A">
              <w:rPr>
                <w:sz w:val="16"/>
                <w:szCs w:val="16"/>
                <w:lang w:val="en-GB"/>
              </w:rPr>
              <w:t xml:space="preserve"> 2002;19 82):1985-189</w:t>
            </w:r>
          </w:p>
          <w:p w:rsidR="00EA7175" w:rsidRPr="008E042A" w:rsidRDefault="00EA7175" w:rsidP="00F268F2">
            <w:pPr>
              <w:rPr>
                <w:sz w:val="16"/>
                <w:szCs w:val="16"/>
                <w:lang w:val="en-GB"/>
              </w:rPr>
            </w:pPr>
          </w:p>
          <w:p w:rsidR="008E042A" w:rsidRPr="008E042A" w:rsidRDefault="008E042A" w:rsidP="00F268F2">
            <w:pPr>
              <w:rPr>
                <w:sz w:val="18"/>
                <w:szCs w:val="18"/>
                <w:lang w:val="en-GB"/>
              </w:rPr>
            </w:pPr>
            <w:r w:rsidRPr="008E042A">
              <w:rPr>
                <w:b/>
                <w:sz w:val="16"/>
                <w:szCs w:val="16"/>
                <w:lang w:val="en-GB"/>
              </w:rPr>
              <w:t>11) S. Mitchell Lewis.</w:t>
            </w:r>
            <w:r w:rsidRPr="008E042A">
              <w:rPr>
                <w:sz w:val="16"/>
                <w:szCs w:val="16"/>
                <w:lang w:val="en-GB"/>
              </w:rPr>
              <w:t xml:space="preserve"> Anaemia and </w:t>
            </w:r>
            <w:proofErr w:type="spellStart"/>
            <w:r w:rsidRPr="008E042A">
              <w:rPr>
                <w:sz w:val="16"/>
                <w:szCs w:val="16"/>
                <w:lang w:val="en-GB"/>
              </w:rPr>
              <w:t>Haemoglobinometry</w:t>
            </w:r>
            <w:proofErr w:type="spellEnd"/>
            <w:r w:rsidRPr="008E042A">
              <w:rPr>
                <w:sz w:val="16"/>
                <w:szCs w:val="16"/>
                <w:lang w:val="en-GB"/>
              </w:rPr>
              <w:t xml:space="preserve"> in Rural Areas Medical Progress, Jan. 2003,S 10-14</w:t>
            </w:r>
          </w:p>
        </w:tc>
      </w:tr>
    </w:tbl>
    <w:p w:rsidR="008E042A" w:rsidRPr="008E042A" w:rsidRDefault="008E042A" w:rsidP="008E042A">
      <w:pPr>
        <w:spacing w:after="0" w:line="240" w:lineRule="auto"/>
        <w:rPr>
          <w:sz w:val="16"/>
          <w:szCs w:val="16"/>
          <w:lang w:val="en-GB"/>
        </w:rPr>
      </w:pPr>
    </w:p>
    <w:sectPr w:rsidR="008E042A" w:rsidRPr="008E042A" w:rsidSect="00EA7175">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617742"/>
    <w:multiLevelType w:val="hybridMultilevel"/>
    <w:tmpl w:val="F53EE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A0770"/>
    <w:rsid w:val="00036453"/>
    <w:rsid w:val="000557DB"/>
    <w:rsid w:val="000629AC"/>
    <w:rsid w:val="00067DDA"/>
    <w:rsid w:val="00071E51"/>
    <w:rsid w:val="000B1A14"/>
    <w:rsid w:val="000E569D"/>
    <w:rsid w:val="00130ED7"/>
    <w:rsid w:val="00151A5B"/>
    <w:rsid w:val="0016568C"/>
    <w:rsid w:val="001846F2"/>
    <w:rsid w:val="001C63D1"/>
    <w:rsid w:val="001E1C95"/>
    <w:rsid w:val="001F7303"/>
    <w:rsid w:val="00224F5D"/>
    <w:rsid w:val="00241ECB"/>
    <w:rsid w:val="0024745C"/>
    <w:rsid w:val="00250B5B"/>
    <w:rsid w:val="00252E38"/>
    <w:rsid w:val="00303974"/>
    <w:rsid w:val="003861DA"/>
    <w:rsid w:val="003D18F3"/>
    <w:rsid w:val="003E64E4"/>
    <w:rsid w:val="003F4A9C"/>
    <w:rsid w:val="00407837"/>
    <w:rsid w:val="00425D1A"/>
    <w:rsid w:val="00444BA9"/>
    <w:rsid w:val="004A0770"/>
    <w:rsid w:val="004E2DBE"/>
    <w:rsid w:val="00592158"/>
    <w:rsid w:val="006571FE"/>
    <w:rsid w:val="006B6359"/>
    <w:rsid w:val="00715E6E"/>
    <w:rsid w:val="00727789"/>
    <w:rsid w:val="0073741D"/>
    <w:rsid w:val="0076003B"/>
    <w:rsid w:val="007A5517"/>
    <w:rsid w:val="007A5A37"/>
    <w:rsid w:val="007B5F64"/>
    <w:rsid w:val="007F1881"/>
    <w:rsid w:val="008917E2"/>
    <w:rsid w:val="008C7CCE"/>
    <w:rsid w:val="008E042A"/>
    <w:rsid w:val="008F27FD"/>
    <w:rsid w:val="009124D5"/>
    <w:rsid w:val="009377FD"/>
    <w:rsid w:val="009710B0"/>
    <w:rsid w:val="009C71AC"/>
    <w:rsid w:val="009D1618"/>
    <w:rsid w:val="009E2E9E"/>
    <w:rsid w:val="00AA02F6"/>
    <w:rsid w:val="00AB451D"/>
    <w:rsid w:val="00B14D01"/>
    <w:rsid w:val="00B334A6"/>
    <w:rsid w:val="00B401F8"/>
    <w:rsid w:val="00B46D86"/>
    <w:rsid w:val="00B95CEC"/>
    <w:rsid w:val="00BA7FF8"/>
    <w:rsid w:val="00BF52AD"/>
    <w:rsid w:val="00BF7A3E"/>
    <w:rsid w:val="00C403F4"/>
    <w:rsid w:val="00C5376A"/>
    <w:rsid w:val="00D856CA"/>
    <w:rsid w:val="00DC59F3"/>
    <w:rsid w:val="00E65CA2"/>
    <w:rsid w:val="00E7093E"/>
    <w:rsid w:val="00E80D0B"/>
    <w:rsid w:val="00EA1783"/>
    <w:rsid w:val="00EA7175"/>
    <w:rsid w:val="00EE1A74"/>
    <w:rsid w:val="00EF5874"/>
    <w:rsid w:val="00F46311"/>
  </w:rsids>
  <m:mathPr>
    <m:mathFont m:val="Cambria Math"/>
    <m:brkBin m:val="before"/>
    <m:brkBinSub m:val="--"/>
    <m:smallFrac m:val="off"/>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A07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0770"/>
    <w:rPr>
      <w:rFonts w:ascii="Tahoma" w:hAnsi="Tahoma" w:cs="Tahoma"/>
      <w:sz w:val="16"/>
      <w:szCs w:val="16"/>
    </w:rPr>
  </w:style>
  <w:style w:type="table" w:styleId="TabloKlavuzu">
    <w:name w:val="Table Grid"/>
    <w:basedOn w:val="NormalTablo"/>
    <w:uiPriority w:val="59"/>
    <w:rsid w:val="001F73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67DD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499</Words>
  <Characters>2846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 Tercüme</dc:creator>
  <cp:keywords/>
  <dc:description/>
  <cp:lastModifiedBy>Mim Tercüme</cp:lastModifiedBy>
  <cp:revision>7</cp:revision>
  <dcterms:created xsi:type="dcterms:W3CDTF">2018-06-04T04:26:00Z</dcterms:created>
  <dcterms:modified xsi:type="dcterms:W3CDTF">2018-06-04T07:28:00Z</dcterms:modified>
</cp:coreProperties>
</file>